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B3BD4" w14:textId="0C73BD52" w:rsidR="00FD717A" w:rsidRDefault="00FD717A" w:rsidP="00FD717A">
      <w:pPr>
        <w:jc w:val="center"/>
        <w:rPr>
          <w:rFonts w:cstheme="minorHAnsi"/>
          <w:b/>
          <w:bCs/>
          <w:sz w:val="32"/>
          <w:szCs w:val="32"/>
        </w:rPr>
      </w:pPr>
      <w:r w:rsidRPr="00FD717A">
        <w:rPr>
          <w:rFonts w:cstheme="minorHAnsi"/>
          <w:b/>
          <w:bCs/>
          <w:sz w:val="32"/>
          <w:szCs w:val="32"/>
        </w:rPr>
        <w:t>Neighbourhood C</w:t>
      </w:r>
      <w:r>
        <w:rPr>
          <w:rFonts w:cstheme="minorHAnsi"/>
          <w:b/>
          <w:bCs/>
          <w:sz w:val="32"/>
          <w:szCs w:val="32"/>
        </w:rPr>
        <w:t xml:space="preserve">ommunity </w:t>
      </w:r>
      <w:r w:rsidRPr="00FD717A">
        <w:rPr>
          <w:rFonts w:cstheme="minorHAnsi"/>
          <w:b/>
          <w:bCs/>
          <w:sz w:val="32"/>
          <w:szCs w:val="32"/>
        </w:rPr>
        <w:t>I</w:t>
      </w:r>
      <w:r>
        <w:rPr>
          <w:rFonts w:cstheme="minorHAnsi"/>
          <w:b/>
          <w:bCs/>
          <w:sz w:val="32"/>
          <w:szCs w:val="32"/>
        </w:rPr>
        <w:t xml:space="preserve">nfrastructure </w:t>
      </w:r>
      <w:r w:rsidRPr="00FD717A">
        <w:rPr>
          <w:rFonts w:cstheme="minorHAnsi"/>
          <w:b/>
          <w:bCs/>
          <w:sz w:val="32"/>
          <w:szCs w:val="32"/>
        </w:rPr>
        <w:t>L</w:t>
      </w:r>
      <w:r>
        <w:rPr>
          <w:rFonts w:cstheme="minorHAnsi"/>
          <w:b/>
          <w:bCs/>
          <w:sz w:val="32"/>
          <w:szCs w:val="32"/>
        </w:rPr>
        <w:t>evy</w:t>
      </w:r>
    </w:p>
    <w:p w14:paraId="4F32A8F6" w14:textId="7BA66C9B" w:rsidR="00FD717A" w:rsidRDefault="00FD717A" w:rsidP="00FD717A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Annual Report</w:t>
      </w:r>
    </w:p>
    <w:p w14:paraId="1C5F0588" w14:textId="1EB407E2" w:rsidR="00061CAD" w:rsidRPr="00FD717A" w:rsidRDefault="00061CAD" w:rsidP="00FD717A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Newhall Parish Council</w:t>
      </w:r>
    </w:p>
    <w:tbl>
      <w:tblPr>
        <w:tblStyle w:val="MediumShading2-Accent5"/>
        <w:tblW w:w="5000" w:type="pct"/>
        <w:tblLook w:val="0660" w:firstRow="1" w:lastRow="1" w:firstColumn="0" w:lastColumn="0" w:noHBand="1" w:noVBand="1"/>
      </w:tblPr>
      <w:tblGrid>
        <w:gridCol w:w="1806"/>
        <w:gridCol w:w="1805"/>
        <w:gridCol w:w="1805"/>
        <w:gridCol w:w="1805"/>
        <w:gridCol w:w="1805"/>
      </w:tblGrid>
      <w:tr w:rsidR="00FD717A" w14:paraId="3A55B383" w14:textId="70075344" w:rsidTr="00FD7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noWrap/>
          </w:tcPr>
          <w:p w14:paraId="693310B3" w14:textId="34773D80" w:rsidR="00FD717A" w:rsidRDefault="00FD717A">
            <w:r>
              <w:t>Date received</w:t>
            </w:r>
          </w:p>
        </w:tc>
        <w:tc>
          <w:tcPr>
            <w:tcW w:w="1000" w:type="pct"/>
          </w:tcPr>
          <w:p w14:paraId="67149750" w14:textId="15A5A5C2" w:rsidR="00FD717A" w:rsidRDefault="00FD717A">
            <w:r>
              <w:t>Amount</w:t>
            </w:r>
          </w:p>
        </w:tc>
        <w:tc>
          <w:tcPr>
            <w:tcW w:w="1000" w:type="pct"/>
          </w:tcPr>
          <w:p w14:paraId="1BFDD4AC" w14:textId="25A1BAE9" w:rsidR="00FD717A" w:rsidRDefault="00FD717A">
            <w:r>
              <w:t>Date spent</w:t>
            </w:r>
          </w:p>
        </w:tc>
        <w:tc>
          <w:tcPr>
            <w:tcW w:w="1000" w:type="pct"/>
          </w:tcPr>
          <w:p w14:paraId="73D48094" w14:textId="0F8525F8" w:rsidR="00FD717A" w:rsidRDefault="00FD717A">
            <w:r>
              <w:t>Amount</w:t>
            </w:r>
          </w:p>
        </w:tc>
        <w:tc>
          <w:tcPr>
            <w:tcW w:w="1000" w:type="pct"/>
          </w:tcPr>
          <w:p w14:paraId="64123E81" w14:textId="362056CD" w:rsidR="00FD717A" w:rsidRDefault="00FD717A">
            <w:r>
              <w:t>Project</w:t>
            </w:r>
          </w:p>
        </w:tc>
      </w:tr>
      <w:tr w:rsidR="00FD717A" w14:paraId="7530520B" w14:textId="2AF4BCCC" w:rsidTr="00FD717A">
        <w:trPr>
          <w:trHeight w:val="25"/>
        </w:trPr>
        <w:tc>
          <w:tcPr>
            <w:tcW w:w="1000" w:type="pct"/>
            <w:noWrap/>
          </w:tcPr>
          <w:p w14:paraId="04D48B46" w14:textId="05240A6A" w:rsidR="00FD717A" w:rsidRPr="00795D99" w:rsidRDefault="006E6644">
            <w:pPr>
              <w:rPr>
                <w:b/>
              </w:rPr>
            </w:pPr>
            <w:r w:rsidRPr="00795D99">
              <w:rPr>
                <w:b/>
              </w:rPr>
              <w:t>4</w:t>
            </w:r>
            <w:r w:rsidRPr="00795D99">
              <w:rPr>
                <w:b/>
                <w:vertAlign w:val="superscript"/>
              </w:rPr>
              <w:t>Th</w:t>
            </w:r>
            <w:r w:rsidRPr="00795D99">
              <w:rPr>
                <w:b/>
              </w:rPr>
              <w:t xml:space="preserve"> Nov 2020</w:t>
            </w:r>
          </w:p>
        </w:tc>
        <w:tc>
          <w:tcPr>
            <w:tcW w:w="1000" w:type="pct"/>
          </w:tcPr>
          <w:p w14:paraId="68EFB85F" w14:textId="52B02699" w:rsidR="00FD717A" w:rsidRPr="00795D99" w:rsidRDefault="006E6644">
            <w:pPr>
              <w:rPr>
                <w:rStyle w:val="SubtleEmphasis"/>
                <w:b/>
                <w:i w:val="0"/>
              </w:rPr>
            </w:pPr>
            <w:r w:rsidRPr="00795D99">
              <w:rPr>
                <w:rStyle w:val="SubtleEmphasis"/>
                <w:b/>
                <w:i w:val="0"/>
              </w:rPr>
              <w:t>2400.00</w:t>
            </w:r>
          </w:p>
        </w:tc>
        <w:tc>
          <w:tcPr>
            <w:tcW w:w="1000" w:type="pct"/>
          </w:tcPr>
          <w:p w14:paraId="4F80FA57" w14:textId="77777777" w:rsidR="00FD717A" w:rsidRDefault="00FD717A"/>
        </w:tc>
        <w:tc>
          <w:tcPr>
            <w:tcW w:w="1000" w:type="pct"/>
          </w:tcPr>
          <w:p w14:paraId="2210AFAD" w14:textId="77777777" w:rsidR="00FD717A" w:rsidRDefault="00FD717A"/>
        </w:tc>
        <w:tc>
          <w:tcPr>
            <w:tcW w:w="1000" w:type="pct"/>
          </w:tcPr>
          <w:p w14:paraId="09FBA119" w14:textId="77777777" w:rsidR="00FD717A" w:rsidRDefault="00FD717A"/>
        </w:tc>
      </w:tr>
      <w:tr w:rsidR="00FD717A" w14:paraId="29E3543A" w14:textId="155FFE66" w:rsidTr="00FD717A">
        <w:tc>
          <w:tcPr>
            <w:tcW w:w="1000" w:type="pct"/>
            <w:noWrap/>
          </w:tcPr>
          <w:p w14:paraId="59C853CD" w14:textId="247539D4" w:rsidR="00FD717A" w:rsidRPr="00795D99" w:rsidRDefault="006E6644">
            <w:pPr>
              <w:rPr>
                <w:b/>
              </w:rPr>
            </w:pPr>
            <w:r w:rsidRPr="00795D99">
              <w:rPr>
                <w:b/>
              </w:rPr>
              <w:t>17</w:t>
            </w:r>
            <w:r w:rsidRPr="00795D99">
              <w:rPr>
                <w:b/>
                <w:vertAlign w:val="superscript"/>
              </w:rPr>
              <w:t>th</w:t>
            </w:r>
            <w:r w:rsidRPr="00795D99">
              <w:rPr>
                <w:b/>
              </w:rPr>
              <w:t xml:space="preserve"> June 2021</w:t>
            </w:r>
          </w:p>
        </w:tc>
        <w:tc>
          <w:tcPr>
            <w:tcW w:w="1000" w:type="pct"/>
          </w:tcPr>
          <w:p w14:paraId="7543B736" w14:textId="40383702" w:rsidR="00FD717A" w:rsidRPr="00795D99" w:rsidRDefault="006E6644">
            <w:pPr>
              <w:pStyle w:val="DecimalAligned"/>
              <w:rPr>
                <w:b/>
              </w:rPr>
            </w:pPr>
            <w:r w:rsidRPr="00795D99">
              <w:rPr>
                <w:b/>
              </w:rPr>
              <w:t>3386.40</w:t>
            </w:r>
          </w:p>
        </w:tc>
        <w:tc>
          <w:tcPr>
            <w:tcW w:w="1000" w:type="pct"/>
          </w:tcPr>
          <w:p w14:paraId="41D8875B" w14:textId="235B9FB4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2ACD87E6" w14:textId="5740E7F4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1EAF3904" w14:textId="77777777" w:rsidR="00FD717A" w:rsidRDefault="00FD717A">
            <w:pPr>
              <w:pStyle w:val="DecimalAligned"/>
            </w:pPr>
          </w:p>
        </w:tc>
      </w:tr>
      <w:tr w:rsidR="00FD717A" w14:paraId="3ACE2DB5" w14:textId="432B1D81" w:rsidTr="00FD717A">
        <w:tc>
          <w:tcPr>
            <w:tcW w:w="1000" w:type="pct"/>
            <w:noWrap/>
          </w:tcPr>
          <w:p w14:paraId="11230E77" w14:textId="048658D1" w:rsidR="00FD717A" w:rsidRPr="00795D99" w:rsidRDefault="006E6644">
            <w:pPr>
              <w:rPr>
                <w:b/>
              </w:rPr>
            </w:pPr>
            <w:r w:rsidRPr="00795D99">
              <w:rPr>
                <w:b/>
              </w:rPr>
              <w:t>14</w:t>
            </w:r>
            <w:r w:rsidRPr="00795D99">
              <w:rPr>
                <w:b/>
                <w:vertAlign w:val="superscript"/>
              </w:rPr>
              <w:t>th</w:t>
            </w:r>
            <w:r w:rsidRPr="00795D99">
              <w:rPr>
                <w:b/>
              </w:rPr>
              <w:t xml:space="preserve"> July 2021</w:t>
            </w:r>
          </w:p>
        </w:tc>
        <w:tc>
          <w:tcPr>
            <w:tcW w:w="1000" w:type="pct"/>
          </w:tcPr>
          <w:p w14:paraId="08EE9319" w14:textId="4BA0812F" w:rsidR="00FD717A" w:rsidRPr="00795D99" w:rsidRDefault="006E6644">
            <w:pPr>
              <w:pStyle w:val="DecimalAligned"/>
              <w:rPr>
                <w:b/>
              </w:rPr>
            </w:pPr>
            <w:r w:rsidRPr="00795D99">
              <w:rPr>
                <w:b/>
              </w:rPr>
              <w:t>1200</w:t>
            </w:r>
            <w:r w:rsidR="00905B96" w:rsidRPr="00795D99">
              <w:rPr>
                <w:b/>
              </w:rPr>
              <w:t>.00</w:t>
            </w:r>
          </w:p>
        </w:tc>
        <w:tc>
          <w:tcPr>
            <w:tcW w:w="1000" w:type="pct"/>
          </w:tcPr>
          <w:p w14:paraId="438DCB79" w14:textId="0D0A7437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31C3ACEF" w14:textId="700F5973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6817A98A" w14:textId="77777777" w:rsidR="00FD717A" w:rsidRDefault="00FD717A">
            <w:pPr>
              <w:pStyle w:val="DecimalAligned"/>
            </w:pPr>
          </w:p>
        </w:tc>
      </w:tr>
      <w:tr w:rsidR="00FD717A" w14:paraId="39B32998" w14:textId="6ECFFE81" w:rsidTr="00FD717A">
        <w:tc>
          <w:tcPr>
            <w:tcW w:w="1000" w:type="pct"/>
            <w:noWrap/>
          </w:tcPr>
          <w:p w14:paraId="12BC4D47" w14:textId="20FCC079" w:rsidR="00FD717A" w:rsidRDefault="00FD717A"/>
        </w:tc>
        <w:tc>
          <w:tcPr>
            <w:tcW w:w="1000" w:type="pct"/>
          </w:tcPr>
          <w:p w14:paraId="5CED4C12" w14:textId="0386360D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168C3FFC" w14:textId="651921D1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1D7F5A2D" w14:textId="17E77A81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3C637FDE" w14:textId="77777777" w:rsidR="00FD717A" w:rsidRDefault="00FD717A">
            <w:pPr>
              <w:pStyle w:val="DecimalAligned"/>
            </w:pPr>
          </w:p>
        </w:tc>
      </w:tr>
      <w:tr w:rsidR="00FD717A" w14:paraId="09AF3325" w14:textId="502D3BCB" w:rsidTr="00FD717A">
        <w:tc>
          <w:tcPr>
            <w:tcW w:w="1000" w:type="pct"/>
            <w:noWrap/>
          </w:tcPr>
          <w:p w14:paraId="294F7D5E" w14:textId="1B70A9F7" w:rsidR="00FD717A" w:rsidRDefault="00FD717A"/>
        </w:tc>
        <w:tc>
          <w:tcPr>
            <w:tcW w:w="1000" w:type="pct"/>
          </w:tcPr>
          <w:p w14:paraId="69894E1F" w14:textId="4ED44253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5386E655" w14:textId="103345D7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793F3A5E" w14:textId="265365BB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725BB3E8" w14:textId="77777777" w:rsidR="00FD717A" w:rsidRDefault="00FD717A">
            <w:pPr>
              <w:pStyle w:val="DecimalAligned"/>
            </w:pPr>
          </w:p>
        </w:tc>
      </w:tr>
      <w:tr w:rsidR="00FD717A" w14:paraId="7D78E238" w14:textId="4311D154" w:rsidTr="00FD717A">
        <w:tc>
          <w:tcPr>
            <w:tcW w:w="1000" w:type="pct"/>
            <w:noWrap/>
          </w:tcPr>
          <w:p w14:paraId="2149C3D2" w14:textId="4C35318F" w:rsidR="00FD717A" w:rsidRDefault="00FD717A"/>
        </w:tc>
        <w:tc>
          <w:tcPr>
            <w:tcW w:w="1000" w:type="pct"/>
          </w:tcPr>
          <w:p w14:paraId="25EA1DAA" w14:textId="40014D6F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2180DC73" w14:textId="1A0B06B3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6795EB83" w14:textId="6872799E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1D985BB5" w14:textId="77777777" w:rsidR="00FD717A" w:rsidRDefault="00FD717A">
            <w:pPr>
              <w:pStyle w:val="DecimalAligned"/>
            </w:pPr>
          </w:p>
        </w:tc>
      </w:tr>
      <w:tr w:rsidR="00FD717A" w14:paraId="1B948343" w14:textId="79030093" w:rsidTr="00FD717A">
        <w:tc>
          <w:tcPr>
            <w:tcW w:w="1000" w:type="pct"/>
            <w:noWrap/>
          </w:tcPr>
          <w:p w14:paraId="218B722F" w14:textId="77777777" w:rsidR="00FD717A" w:rsidRDefault="00FD717A"/>
        </w:tc>
        <w:tc>
          <w:tcPr>
            <w:tcW w:w="1000" w:type="pct"/>
          </w:tcPr>
          <w:p w14:paraId="7DA84804" w14:textId="0D0468A7" w:rsidR="00FD717A" w:rsidRDefault="00FD717A">
            <w:pPr>
              <w:rPr>
                <w:rStyle w:val="SubtleEmphasis"/>
              </w:rPr>
            </w:pPr>
          </w:p>
        </w:tc>
        <w:tc>
          <w:tcPr>
            <w:tcW w:w="1000" w:type="pct"/>
          </w:tcPr>
          <w:p w14:paraId="3BDFC494" w14:textId="77777777" w:rsidR="00FD717A" w:rsidRDefault="00FD717A"/>
        </w:tc>
        <w:tc>
          <w:tcPr>
            <w:tcW w:w="1000" w:type="pct"/>
          </w:tcPr>
          <w:p w14:paraId="128536D0" w14:textId="77777777" w:rsidR="00FD717A" w:rsidRDefault="00FD717A"/>
        </w:tc>
        <w:tc>
          <w:tcPr>
            <w:tcW w:w="1000" w:type="pct"/>
          </w:tcPr>
          <w:p w14:paraId="0339EEBC" w14:textId="77777777" w:rsidR="00FD717A" w:rsidRDefault="00FD717A"/>
        </w:tc>
      </w:tr>
      <w:tr w:rsidR="00FD717A" w14:paraId="719AC0A5" w14:textId="608841FD" w:rsidTr="00FD717A">
        <w:tc>
          <w:tcPr>
            <w:tcW w:w="1000" w:type="pct"/>
            <w:noWrap/>
          </w:tcPr>
          <w:p w14:paraId="2B7C4F92" w14:textId="2FBB2A12" w:rsidR="00FD717A" w:rsidRDefault="00FD717A"/>
        </w:tc>
        <w:tc>
          <w:tcPr>
            <w:tcW w:w="1000" w:type="pct"/>
          </w:tcPr>
          <w:p w14:paraId="5B0570A6" w14:textId="7D2F9386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7ABF7D9F" w14:textId="340CC058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1F433D7E" w14:textId="0AB09591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665880BE" w14:textId="77777777" w:rsidR="00FD717A" w:rsidRDefault="00FD717A">
            <w:pPr>
              <w:pStyle w:val="DecimalAligned"/>
            </w:pPr>
          </w:p>
        </w:tc>
      </w:tr>
      <w:tr w:rsidR="00FD717A" w14:paraId="503613AA" w14:textId="6C4FF733" w:rsidTr="00FD717A">
        <w:tc>
          <w:tcPr>
            <w:tcW w:w="1000" w:type="pct"/>
            <w:noWrap/>
          </w:tcPr>
          <w:p w14:paraId="58DD6AC8" w14:textId="3A49B654" w:rsidR="00FD717A" w:rsidRDefault="00FD717A"/>
        </w:tc>
        <w:tc>
          <w:tcPr>
            <w:tcW w:w="1000" w:type="pct"/>
          </w:tcPr>
          <w:p w14:paraId="415669C6" w14:textId="253B791D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2B24B915" w14:textId="683BB619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3ADD208A" w14:textId="3366961F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52CB5B3C" w14:textId="77777777" w:rsidR="00FD717A" w:rsidRDefault="00FD717A">
            <w:pPr>
              <w:pStyle w:val="DecimalAligned"/>
            </w:pPr>
          </w:p>
        </w:tc>
      </w:tr>
      <w:tr w:rsidR="00FD717A" w14:paraId="24D6FEE1" w14:textId="5E77E270" w:rsidTr="00FD717A">
        <w:tc>
          <w:tcPr>
            <w:tcW w:w="1000" w:type="pct"/>
            <w:noWrap/>
          </w:tcPr>
          <w:p w14:paraId="459D502D" w14:textId="38E47A6D" w:rsidR="00FD717A" w:rsidRDefault="00FD717A"/>
        </w:tc>
        <w:tc>
          <w:tcPr>
            <w:tcW w:w="1000" w:type="pct"/>
          </w:tcPr>
          <w:p w14:paraId="3F19AC02" w14:textId="75A203B5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56E8A483" w14:textId="55C5DDE2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35FC22FC" w14:textId="0199F0D1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3836D421" w14:textId="77777777" w:rsidR="00FD717A" w:rsidRDefault="00FD717A">
            <w:pPr>
              <w:pStyle w:val="DecimalAligned"/>
            </w:pPr>
          </w:p>
        </w:tc>
      </w:tr>
      <w:tr w:rsidR="00FD717A" w14:paraId="6647D24D" w14:textId="2A74CFFB" w:rsidTr="00FD717A">
        <w:tc>
          <w:tcPr>
            <w:tcW w:w="1000" w:type="pct"/>
            <w:noWrap/>
          </w:tcPr>
          <w:p w14:paraId="66FCD5B4" w14:textId="30396D22" w:rsidR="00FD717A" w:rsidRDefault="00FD717A"/>
        </w:tc>
        <w:tc>
          <w:tcPr>
            <w:tcW w:w="1000" w:type="pct"/>
          </w:tcPr>
          <w:p w14:paraId="0C9F3DAD" w14:textId="63751D1B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540DBCCF" w14:textId="22DE0A29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2E113C6C" w14:textId="09B83555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5E5B896D" w14:textId="77777777" w:rsidR="00FD717A" w:rsidRDefault="00FD717A">
            <w:pPr>
              <w:pStyle w:val="DecimalAligned"/>
            </w:pPr>
          </w:p>
        </w:tc>
      </w:tr>
      <w:tr w:rsidR="00FD717A" w14:paraId="7D788034" w14:textId="78B4121B" w:rsidTr="00FD717A">
        <w:tc>
          <w:tcPr>
            <w:tcW w:w="1000" w:type="pct"/>
            <w:noWrap/>
          </w:tcPr>
          <w:p w14:paraId="6C5BB05B" w14:textId="261C7A69" w:rsidR="00FD717A" w:rsidRDefault="00FD717A"/>
        </w:tc>
        <w:tc>
          <w:tcPr>
            <w:tcW w:w="1000" w:type="pct"/>
          </w:tcPr>
          <w:p w14:paraId="148991D7" w14:textId="1EEA7372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7CACA577" w14:textId="3B387F51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0654C790" w14:textId="7AE2A238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2F278B26" w14:textId="77777777" w:rsidR="00FD717A" w:rsidRDefault="00FD717A">
            <w:pPr>
              <w:pStyle w:val="DecimalAligned"/>
            </w:pPr>
          </w:p>
        </w:tc>
      </w:tr>
      <w:tr w:rsidR="00FD717A" w14:paraId="049C1003" w14:textId="1B11F5AB" w:rsidTr="00FD71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noWrap/>
          </w:tcPr>
          <w:p w14:paraId="12DB4121" w14:textId="77777777" w:rsidR="00FD717A" w:rsidRDefault="00FD717A">
            <w:r>
              <w:t>Total</w:t>
            </w:r>
          </w:p>
        </w:tc>
        <w:tc>
          <w:tcPr>
            <w:tcW w:w="1000" w:type="pct"/>
          </w:tcPr>
          <w:p w14:paraId="005E5ABF" w14:textId="30072D2B" w:rsidR="00FD717A" w:rsidRPr="00795D99" w:rsidRDefault="006E6644">
            <w:pPr>
              <w:pStyle w:val="DecimalAligned"/>
              <w:rPr>
                <w:b/>
              </w:rPr>
            </w:pPr>
            <w:r w:rsidRPr="00795D99">
              <w:rPr>
                <w:b/>
              </w:rPr>
              <w:t>£6986.40</w:t>
            </w:r>
          </w:p>
        </w:tc>
        <w:tc>
          <w:tcPr>
            <w:tcW w:w="1000" w:type="pct"/>
          </w:tcPr>
          <w:p w14:paraId="3ECBF700" w14:textId="46D0AA98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31CF9BE3" w14:textId="4E2D6F92" w:rsidR="00FD717A" w:rsidRDefault="00FD717A">
            <w:pPr>
              <w:pStyle w:val="DecimalAligned"/>
            </w:pPr>
          </w:p>
        </w:tc>
        <w:tc>
          <w:tcPr>
            <w:tcW w:w="1000" w:type="pct"/>
          </w:tcPr>
          <w:p w14:paraId="1B0A51D4" w14:textId="77777777" w:rsidR="00FD717A" w:rsidRDefault="00FD717A">
            <w:pPr>
              <w:pStyle w:val="DecimalAligned"/>
            </w:pPr>
          </w:p>
        </w:tc>
      </w:tr>
    </w:tbl>
    <w:p w14:paraId="2D3A2C65" w14:textId="77777777" w:rsidR="00E03F00" w:rsidRDefault="00795D99"/>
    <w:p w14:paraId="1E5C93FA" w14:textId="2AF978EF" w:rsidR="006E6644" w:rsidRDefault="002557A8">
      <w:r>
        <w:t>The money received by Newhall Parish Council is currently held within the accounts of the Parish Council and awaits a decision on project expenditure.</w:t>
      </w:r>
      <w:bookmarkStart w:id="0" w:name="_GoBack"/>
      <w:bookmarkEnd w:id="0"/>
    </w:p>
    <w:p w14:paraId="546111E2" w14:textId="77777777" w:rsidR="002557A8" w:rsidRDefault="002557A8"/>
    <w:p w14:paraId="02534C05" w14:textId="5253676F" w:rsidR="002557A8" w:rsidRDefault="002557A8">
      <w:r>
        <w:t>Adrian G. Lawrence</w:t>
      </w:r>
    </w:p>
    <w:p w14:paraId="5234E574" w14:textId="7E458862" w:rsidR="002557A8" w:rsidRDefault="002557A8">
      <w:r>
        <w:t>Clerk – Newhall Parish Council</w:t>
      </w:r>
    </w:p>
    <w:sectPr w:rsidR="00255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7A"/>
    <w:rsid w:val="00061CAD"/>
    <w:rsid w:val="002557A8"/>
    <w:rsid w:val="005E20A3"/>
    <w:rsid w:val="006E6644"/>
    <w:rsid w:val="00795D99"/>
    <w:rsid w:val="00905B96"/>
    <w:rsid w:val="00C666D0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F631"/>
  <w15:chartTrackingRefBased/>
  <w15:docId w15:val="{47E55FCD-8543-4390-A30D-C8572747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D717A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D717A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17A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D717A"/>
    <w:rPr>
      <w:i/>
      <w:iCs/>
    </w:rPr>
  </w:style>
  <w:style w:type="table" w:styleId="MediumShading2-Accent5">
    <w:name w:val="Medium Shading 2 Accent 5"/>
    <w:basedOn w:val="TableNormal"/>
    <w:uiPriority w:val="64"/>
    <w:rsid w:val="00FD717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Julia</dc:creator>
  <cp:keywords/>
  <dc:description/>
  <cp:lastModifiedBy>Microsoft account</cp:lastModifiedBy>
  <cp:revision>6</cp:revision>
  <cp:lastPrinted>2021-12-23T11:19:00Z</cp:lastPrinted>
  <dcterms:created xsi:type="dcterms:W3CDTF">2021-12-23T11:14:00Z</dcterms:created>
  <dcterms:modified xsi:type="dcterms:W3CDTF">2021-12-23T11:38:00Z</dcterms:modified>
</cp:coreProperties>
</file>